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120"/>
        <w:jc w:val="end"/>
        <w:rPr>
          <w:b/>
          <w:bCs/>
        </w:rPr>
      </w:pPr>
      <w:r>
        <w:rPr>
          <w:b/>
          <w:bCs/>
        </w:rPr>
        <w:t xml:space="preserve">Allegato </w:t>
      </w:r>
      <w:r>
        <w:rPr>
          <w:b/>
          <w:bCs/>
        </w:rPr>
        <w:t>B.2</w:t>
      </w:r>
    </w:p>
    <w:p>
      <w:pPr>
        <w:pStyle w:val="Standard"/>
        <w:spacing w:before="0" w:after="120"/>
        <w:rPr>
          <w:b/>
          <w:bCs/>
        </w:rPr>
      </w:pPr>
      <w:r>
        <w:rPr>
          <w:b/>
          <w:bCs/>
        </w:rPr>
        <w:t>Piano finanziario</w:t>
      </w:r>
    </w:p>
    <w:tbl>
      <w:tblPr>
        <w:tblW w:w="1487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546"/>
        <w:gridCol w:w="1639"/>
        <w:gridCol w:w="1338"/>
        <w:gridCol w:w="2268"/>
        <w:gridCol w:w="1559"/>
        <w:gridCol w:w="1842"/>
        <w:gridCol w:w="1842"/>
        <w:gridCol w:w="1844"/>
      </w:tblGrid>
      <w:tr>
        <w:trPr>
          <w:trHeight w:val="242" w:hRule="atLeast"/>
        </w:trPr>
        <w:tc>
          <w:tcPr>
            <w:tcW w:w="2546" w:type="dxa"/>
            <w:vMerge w:val="restart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ATTIVITA’</w:t>
            </w:r>
          </w:p>
        </w:tc>
        <w:tc>
          <w:tcPr>
            <w:tcW w:w="10488" w:type="dxa"/>
            <w:gridSpan w:val="6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TIPOLOGIE DI COSTI</w:t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IMPORTI</w:t>
            </w:r>
          </w:p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>
        <w:trPr>
          <w:trHeight w:val="501" w:hRule="atLeast"/>
        </w:trPr>
        <w:tc>
          <w:tcPr>
            <w:tcW w:w="2546" w:type="dxa"/>
            <w:vMerge w:val="continue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1.Spese di promozione</w:t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Spese Allestimenti e servizi</w:t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Spese per logistica</w:t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Spese operative €</w:t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Entrate espositori</w:t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Sponsor</w:t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vAlign w:val="cente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 €</w:t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254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ind w:start="-54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  <w:p>
            <w:pPr>
              <w:pStyle w:val="Standard"/>
              <w:jc w:val="end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13034" w:type="dxa"/>
            <w:gridSpan w:val="7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Standard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TOTALE IN €</w:t>
            </w:r>
          </w:p>
        </w:tc>
        <w:tc>
          <w:tcPr>
            <w:tcW w:w="184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D0CECE" w:themeFill="background2" w:themeFillShade="e6" w:val="clear"/>
          </w:tcPr>
          <w:p>
            <w:pPr>
              <w:pStyle w:val="Standard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9638"/>
          <w:tab w:val="center" w:pos="4819" w:leader="none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Header"/>
        <w:tabs>
          <w:tab w:val="clear" w:pos="9638"/>
          <w:tab w:val="center" w:pos="4819" w:leader="none"/>
        </w:tabs>
        <w:rPr>
          <w:b/>
          <w:bCs/>
        </w:rPr>
      </w:pPr>
      <w:r>
        <w:rPr>
          <w:b/>
          <w:bCs/>
        </w:rPr>
      </w:r>
    </w:p>
    <w:p>
      <w:pPr>
        <w:pStyle w:val="Header"/>
        <w:tabs>
          <w:tab w:val="clear" w:pos="9638"/>
          <w:tab w:val="center" w:pos="4819" w:leader="none"/>
        </w:tabs>
        <w:rPr>
          <w:b/>
          <w:bCs/>
          <w:color w:val="EE0000"/>
        </w:rPr>
      </w:pPr>
      <w:r>
        <w:rPr>
          <w:b/>
          <w:bCs/>
          <w:color w:val="EE0000"/>
        </w:rPr>
        <w:t>Aggiungere righe in caso di necessità</w:t>
      </w:r>
    </w:p>
    <w:p>
      <w:pPr>
        <w:pStyle w:val="Header"/>
        <w:tabs>
          <w:tab w:val="clear" w:pos="9638"/>
          <w:tab w:val="center" w:pos="4819" w:leader="none"/>
        </w:tabs>
        <w:rPr>
          <w:b/>
          <w:bCs/>
        </w:rPr>
      </w:pPr>
      <w:r>
        <w:rPr>
          <w:b/>
          <w:bCs/>
        </w:rPr>
      </w:r>
    </w:p>
    <w:p>
      <w:pPr>
        <w:pStyle w:val="Header"/>
        <w:tabs>
          <w:tab w:val="clear" w:pos="9638"/>
          <w:tab w:val="center" w:pos="4819" w:leader="none"/>
        </w:tabs>
        <w:rPr>
          <w:rFonts w:eastAsia="Times New Roman" w:cs="Times New Roman"/>
          <w:sz w:val="22"/>
          <w:szCs w:val="22"/>
        </w:rPr>
      </w:pPr>
      <w:r>
        <w:rPr>
          <w:b/>
          <w:bCs/>
        </w:rPr>
        <w:t xml:space="preserve">1 – </w:t>
      </w:r>
      <w:r>
        <w:rPr>
          <w:b/>
          <w:bCs/>
        </w:rPr>
        <w:t>Spese di promozione</w:t>
      </w:r>
      <w:r>
        <w:rPr>
          <w:rFonts w:eastAsia="Times New Roman" w:cs="Times New Roman"/>
          <w:b/>
          <w:bCs/>
          <w:sz w:val="22"/>
          <w:szCs w:val="22"/>
        </w:rPr>
        <w:t xml:space="preserve">: </w:t>
      </w:r>
      <w:r>
        <w:rPr>
          <w:rFonts w:eastAsia="Times New Roman" w:cs="Times New Roman"/>
          <w:b w:val="false"/>
          <w:bCs w:val="false"/>
          <w:sz w:val="22"/>
          <w:szCs w:val="22"/>
        </w:rPr>
        <w:t xml:space="preserve">grafica, realizzazione immagini, stampa manifesti, quotidiani, affissioni, grafica web, sito internet, radio tv, ecc </w:t>
      </w:r>
      <w:r>
        <w:rPr>
          <w:rFonts w:eastAsia="Times New Roman" w:cs="Times New Roman"/>
          <w:sz w:val="22"/>
          <w:szCs w:val="22"/>
        </w:rPr>
        <w:t xml:space="preserve"> p</w:t>
      </w:r>
    </w:p>
    <w:p>
      <w:pPr>
        <w:pStyle w:val="Header"/>
        <w:tabs>
          <w:tab w:val="clear" w:pos="9638"/>
          <w:tab w:val="center" w:pos="4819" w:leader="none"/>
        </w:tabs>
        <w:rPr/>
      </w:pPr>
      <w:r>
        <w:rPr>
          <w:b/>
          <w:bCs/>
        </w:rPr>
        <w:t xml:space="preserve">2 - </w:t>
      </w:r>
      <w:r>
        <w:rPr>
          <w:rFonts w:eastAsia="Times New Roman" w:cs="Times New Roman"/>
          <w:b/>
          <w:bCs/>
          <w:sz w:val="22"/>
          <w:szCs w:val="22"/>
        </w:rPr>
        <w:t xml:space="preserve">Spese </w:t>
      </w:r>
      <w:r>
        <w:rPr>
          <w:rFonts w:eastAsia="Times New Roman" w:cs="Times New Roman"/>
          <w:b/>
          <w:bCs/>
          <w:sz w:val="22"/>
          <w:szCs w:val="22"/>
        </w:rPr>
        <w:t>allestimenti e servizi</w:t>
      </w:r>
      <w:r>
        <w:rPr>
          <w:rFonts w:eastAsia="Times New Roman" w:cs="Times New Roman"/>
          <w:b/>
          <w:bCs/>
          <w:sz w:val="22"/>
          <w:szCs w:val="22"/>
        </w:rPr>
        <w:t xml:space="preserve">: </w:t>
      </w:r>
      <w:r>
        <w:rPr>
          <w:rFonts w:eastAsia="Times New Roman" w:cs="Times New Roman"/>
          <w:b w:val="false"/>
          <w:bCs w:val="false"/>
          <w:sz w:val="22"/>
          <w:szCs w:val="22"/>
        </w:rPr>
        <w:t>allestimenti tendostrutture, pavimentazioni, impianti audio /luci, servizi vari, ecc</w:t>
      </w:r>
    </w:p>
    <w:p>
      <w:pPr>
        <w:pStyle w:val="Header"/>
        <w:tabs>
          <w:tab w:val="clear" w:pos="9638"/>
          <w:tab w:val="center" w:pos="4819" w:leader="none"/>
        </w:tabs>
        <w:rPr/>
      </w:pPr>
      <w:r>
        <w:rPr>
          <w:b/>
          <w:bCs/>
        </w:rPr>
        <w:t xml:space="preserve">3 - </w:t>
      </w:r>
      <w:r>
        <w:rPr>
          <w:rFonts w:eastAsia="Times New Roman" w:cs="Times New Roman"/>
          <w:b/>
          <w:bCs/>
          <w:sz w:val="22"/>
          <w:szCs w:val="22"/>
        </w:rPr>
        <w:t xml:space="preserve">Spese per la logistica: </w:t>
      </w:r>
      <w:r>
        <w:rPr>
          <w:rFonts w:eastAsia="Times New Roman" w:cs="Times New Roman"/>
          <w:sz w:val="22"/>
          <w:szCs w:val="22"/>
        </w:rPr>
        <w:t xml:space="preserve">utenze, pulizie  spese organizzazione eventi, </w:t>
      </w:r>
      <w:r>
        <w:rPr>
          <w:rFonts w:eastAsia="Times New Roman" w:cs="Times New Roman"/>
          <w:sz w:val="22"/>
          <w:szCs w:val="22"/>
        </w:rPr>
        <w:t>sorveglianza, ecc</w:t>
      </w:r>
      <w:r>
        <w:rPr>
          <w:rFonts w:eastAsia="Times New Roman" w:cs="Times New Roman"/>
          <w:sz w:val="22"/>
          <w:szCs w:val="22"/>
        </w:rPr>
        <w:t>;</w:t>
      </w:r>
    </w:p>
    <w:p>
      <w:pPr>
        <w:pStyle w:val="Header"/>
        <w:tabs>
          <w:tab w:val="clear" w:pos="9638"/>
          <w:tab w:val="center" w:pos="4819" w:leader="none"/>
        </w:tabs>
        <w:rPr/>
      </w:pPr>
      <w:r>
        <w:rPr>
          <w:rFonts w:eastAsia="Times New Roman" w:cs="Times New Roman"/>
          <w:b/>
          <w:bCs/>
          <w:sz w:val="22"/>
          <w:szCs w:val="22"/>
        </w:rPr>
        <w:t>4 - Spese operative:</w:t>
      </w:r>
      <w:r>
        <w:rPr>
          <w:rFonts w:eastAsia="Times New Roman" w:cs="Times New Roman"/>
          <w:sz w:val="22"/>
          <w:szCs w:val="22"/>
        </w:rPr>
        <w:t xml:space="preserve"> stipendi, oneri sociali e tasse relativamente al personale dipendente impegnato, materiali e altre spese necessarie per l'organizzazione delle attività, assicurazione responsabilità civile verso i terzi.</w:t>
      </w:r>
    </w:p>
    <w:p>
      <w:pPr>
        <w:pStyle w:val="Header"/>
        <w:tabs>
          <w:tab w:val="clear" w:pos="9638"/>
          <w:tab w:val="center" w:pos="4819" w:leader="none"/>
        </w:tabs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basedOn w:val="DefaultParagraphFont"/>
    <w:qFormat/>
    <w:rPr>
      <w:vertAlign w:val="superscript"/>
    </w:rPr>
  </w:style>
  <w:style w:type="character" w:styleId="FootnoteReference" w:customStyle="1">
    <w:name w:val="footnote reference"/>
    <w:rPr>
      <w:vertAlign w:val="superscri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ile21" w:customStyle="1">
    <w:name w:val="Stile21"/>
    <w:basedOn w:val="DefaultParagraphFont"/>
    <w:qFormat/>
    <w:rPr>
      <w:sz w:val="22"/>
    </w:rPr>
  </w:style>
  <w:style w:type="character" w:styleId="FootnoteSymbol" w:customStyle="1">
    <w:name w:val="Footnote Symbol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7z0" w:customStyle="1">
    <w:name w:val="WW8Num7z0"/>
    <w:qFormat/>
    <w:rPr>
      <w:rFonts w:ascii="Symbol" w:hAnsi="Symbol" w:eastAsia="Symbol" w:cs="Symbol"/>
      <w:i/>
      <w:shd w:fill="FFFF00" w:val="clear"/>
    </w:rPr>
  </w:style>
  <w:style w:type="character" w:styleId="WW8Num3z0" w:customStyle="1">
    <w:name w:val="WW8Num3z0"/>
    <w:qFormat/>
    <w:rPr>
      <w:rFonts w:ascii="Courier New" w:hAnsi="Courier New" w:eastAsia="Courier New" w:cs="Courier New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>
      <w:rFonts w:cs="Mangal"/>
      <w:sz w:val="20"/>
      <w:szCs w:val="18"/>
    </w:rPr>
  </w:style>
  <w:style w:type="character" w:styleId="SoggettocommentoCarattere" w:customStyle="1">
    <w:name w:val="Soggetto commento Carattere"/>
    <w:basedOn w:val="TestocommentoCarattere"/>
    <w:qFormat/>
    <w:rPr>
      <w:rFonts w:cs="Mangal"/>
      <w:b/>
      <w:bCs/>
      <w:sz w:val="20"/>
      <w:szCs w:val="18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note" w:customStyle="1">
    <w:name w:val="Footnote"/>
    <w:basedOn w:val="Standard"/>
    <w:qFormat/>
    <w:pPr>
      <w:suppressLineNumbers/>
      <w:ind w:hanging="283" w:start="283"/>
    </w:pPr>
    <w:rPr>
      <w:sz w:val="20"/>
      <w:szCs w:val="20"/>
    </w:rPr>
  </w:style>
  <w:style w:type="paragraph" w:styleId="FootnoteText">
    <w:name w:val="footnote text"/>
    <w:basedOn w:val="Standard"/>
    <w:pPr/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NormalWeb">
    <w:name w:val="Normal (Web)"/>
    <w:basedOn w:val="Standard"/>
    <w:qFormat/>
    <w:pPr>
      <w:widowControl/>
      <w:suppressAutoHyphens w:val="false"/>
      <w:spacing w:before="280" w:after="119"/>
    </w:pPr>
    <w:rPr>
      <w:rFonts w:eastAsia="Times New Roman" w:cs="Times New Roman"/>
      <w:lang w:bidi="ar-SA"/>
    </w:rPr>
  </w:style>
  <w:style w:type="paragraph" w:styleId="CommentText">
    <w:name w:val="annotation text"/>
    <w:basedOn w:val="Normal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Default">
    <w:name w:val="Default"/>
    <w:qFormat/>
    <w:pPr>
      <w:widowControl w:val="false"/>
      <w:bidi w:val="0"/>
      <w:spacing w:before="0" w:after="0"/>
      <w:jc w:val="start"/>
      <w:textAlignment w:val="baseline"/>
    </w:pPr>
    <w:rPr>
      <w:rFonts w:ascii="Arial" w:hAnsi="Arial" w:eastAsia="SimSun" w:cs="Arial"/>
      <w:color w:val="000000"/>
      <w:kern w:val="2"/>
      <w:sz w:val="24"/>
      <w:szCs w:val="24"/>
      <w:lang w:val="it-IT" w:eastAsia="zh-CN" w:bidi="hi-IN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7" w:customStyle="1">
    <w:name w:val="WW8Num7"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737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LibreOffice/25.8.7.3$Windows_X86_64 LibreOffice_project/30742500f2d3eb4366ac312fa33d3dcabdb3eba5</Application>
  <AppVersion>15.0000</AppVersion>
  <Pages>1</Pages>
  <Words>119</Words>
  <Characters>727</Characters>
  <CharactersWithSpaces>1197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2025-11-25T10:41:00Z</dcterms:created>
  <dc:creator>GIANCARLO &amp; ANNA</dc:creator>
  <dc:description/>
  <dc:language>it-IT</dc:language>
  <cp:lastModifiedBy/>
  <cp:lastPrinted>2026-04-30T07:42:00Z</cp:lastPrinted>
  <dcterms:modified xsi:type="dcterms:W3CDTF">2026-06-17T14:28:13Z</dcterms:modified>
  <cp:revision>4</cp:revision>
  <dc:subject/>
  <dc:title>RELAZIONE DI BILANCIO FIERA DI 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